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4A7C59"/>
          <w:spacing w:val="20"/>
          <w:sz w:val="18"/>
          <w:szCs w:val="18"/>
        </w:rPr>
        <w:t xml:space="preserve">CORELLA CARE LTD</w:t>
      </w:r>
    </w:p>
    <w:p>
      <w:pPr>
        <w:pBdr>
          <w:bottom w:val="single" w:color="1F4E3D" w:sz="12" w:space="8"/>
        </w:pBdr>
        <w:spacing w:after="200"/>
      </w:pPr>
      <w:r>
        <w:rPr>
          <w:rFonts w:ascii="Calibri" w:cs="Calibri" w:eastAsia="Calibri" w:hAnsi="Calibri"/>
          <w:b/>
          <w:bCs/>
          <w:color w:val="1F4E3D"/>
          <w:sz w:val="44"/>
          <w:szCs w:val="44"/>
        </w:rPr>
        <w:t xml:space="preserve">Board Charter</w:t>
      </w:r>
    </w:p>
    <w:p>
      <w:pPr>
        <w:spacing w:after="160"/>
      </w:pPr>
      <w:r>
        <w:rPr>
          <w:rFonts w:ascii="Calibri" w:cs="Calibri" w:eastAsia="Calibri" w:hAnsi="Calibri"/>
          <w:i/>
          <w:iCs/>
          <w:color w:val="2A2A2A"/>
          <w:sz w:val="22"/>
          <w:szCs w:val="22"/>
        </w:rPr>
        <w:t xml:space="preserve">Corella Care Ltd</w:t>
      </w:r>
    </w:p>
    <w:p>
      <w:pPr>
        <w:spacing w:after="320"/>
      </w:pPr>
      <w:r>
        <w:rPr>
          <w:rFonts w:ascii="Calibri" w:cs="Calibri" w:eastAsia="Calibri" w:hAnsi="Calibri"/>
          <w:color w:val="666666"/>
          <w:sz w:val="18"/>
          <w:szCs w:val="18"/>
        </w:rPr>
        <w:t xml:space="preserve">Approved by the Board: 14 August 2025. Next scheduled review: August 2027.</w:t>
      </w:r>
    </w:p>
    <w:p>
      <w:pPr>
        <w:spacing w:after="120" w:before="280"/>
      </w:pPr>
      <w:r>
        <w:rPr>
          <w:rFonts w:ascii="Calibri" w:cs="Calibri" w:eastAsia="Calibri" w:hAnsi="Calibri"/>
          <w:b/>
          <w:bCs/>
          <w:color w:val="1F4E3D"/>
          <w:sz w:val="26"/>
          <w:szCs w:val="26"/>
        </w:rPr>
        <w:t xml:space="preserve">Purpose</w:t>
      </w:r>
    </w:p>
    <w:p>
      <w:pPr>
        <w:spacing w:after="160"/>
      </w:pPr>
      <w:r>
        <w:rPr>
          <w:rFonts w:ascii="Calibri" w:cs="Calibri" w:eastAsia="Calibri" w:hAnsi="Calibri"/>
          <w:b w:val="false"/>
          <w:bCs w:val="false"/>
          <w:i w:val="false"/>
          <w:iCs w:val="false"/>
          <w:color w:val="2A2A2A"/>
          <w:sz w:val="21"/>
          <w:szCs w:val="21"/>
        </w:rPr>
        <w:t xml:space="preserve">This Charter sets out the role, responsibilities, composition and operating practices of the Board of Corella Care Ltd. It should be read together with the Constitution, the Code of Conduct, and the Delegation of Authority Policy.</w:t>
      </w:r>
    </w:p>
    <w:p>
      <w:pPr>
        <w:spacing w:after="120" w:before="280"/>
      </w:pPr>
      <w:r>
        <w:rPr>
          <w:rFonts w:ascii="Calibri" w:cs="Calibri" w:eastAsia="Calibri" w:hAnsi="Calibri"/>
          <w:b/>
          <w:bCs/>
          <w:color w:val="1F4E3D"/>
          <w:sz w:val="26"/>
          <w:szCs w:val="26"/>
        </w:rPr>
        <w:t xml:space="preserve">Role of the Board</w:t>
      </w:r>
    </w:p>
    <w:p>
      <w:pPr>
        <w:spacing w:after="160"/>
      </w:pPr>
      <w:r>
        <w:rPr>
          <w:rFonts w:ascii="Calibri" w:cs="Calibri" w:eastAsia="Calibri" w:hAnsi="Calibri"/>
          <w:b w:val="false"/>
          <w:bCs w:val="false"/>
          <w:i w:val="false"/>
          <w:iCs w:val="false"/>
          <w:color w:val="2A2A2A"/>
          <w:sz w:val="21"/>
          <w:szCs w:val="21"/>
        </w:rPr>
        <w:t xml:space="preserve">The Board governs Corella Care on behalf of Members and the community it serves. Governance means setting strategic direction, approving the budget and major financial commitments, overseeing risk, quality and compliance, and appointing and holding the Chief Executive Officer to account for performance. It does not mean directing day to day operations, which are the responsibility of the CEO and staff.</w:t>
      </w:r>
    </w:p>
    <w:p>
      <w:pPr>
        <w:spacing w:after="120" w:before="280"/>
      </w:pPr>
      <w:r>
        <w:rPr>
          <w:rFonts w:ascii="Calibri" w:cs="Calibri" w:eastAsia="Calibri" w:hAnsi="Calibri"/>
          <w:b/>
          <w:bCs/>
          <w:color w:val="1F4E3D"/>
          <w:sz w:val="26"/>
          <w:szCs w:val="26"/>
        </w:rPr>
        <w:t xml:space="preserve">Composition</w:t>
      </w:r>
    </w:p>
    <w:p>
      <w:pPr>
        <w:spacing w:after="160"/>
      </w:pPr>
      <w:r>
        <w:rPr>
          <w:rFonts w:ascii="Calibri" w:cs="Calibri" w:eastAsia="Calibri" w:hAnsi="Calibri"/>
          <w:b w:val="false"/>
          <w:bCs w:val="false"/>
          <w:i w:val="false"/>
          <w:iCs w:val="false"/>
          <w:color w:val="2A2A2A"/>
          <w:sz w:val="21"/>
          <w:szCs w:val="21"/>
        </w:rPr>
        <w:t xml:space="preserve">The Board comprises between six and nine directors, elected by Members in accordance with the Constitution. The Board aims for a mix of skills across clinical and aged care experience, finance, law, human resources and lived experience of the services Corella Care provides. The Board reviews its skills mix annually using the Board Skills Matrix.</w:t>
      </w:r>
    </w:p>
    <w:p>
      <w:pPr>
        <w:spacing w:after="120" w:before="280"/>
      </w:pPr>
      <w:r>
        <w:rPr>
          <w:rFonts w:ascii="Calibri" w:cs="Calibri" w:eastAsia="Calibri" w:hAnsi="Calibri"/>
          <w:b/>
          <w:bCs/>
          <w:color w:val="1F4E3D"/>
          <w:sz w:val="26"/>
          <w:szCs w:val="26"/>
        </w:rPr>
        <w:t xml:space="preserve">Responsibilities of the Board</w:t>
      </w:r>
    </w:p>
    <w:p>
      <w:pPr>
        <w:pStyle w:val="ListParagraph"/>
        <w:numPr>
          <w:ilvl w:val="0"/>
          <w:numId w:val="2"/>
        </w:numPr>
        <w:spacing w:after="90"/>
      </w:pPr>
      <w:r>
        <w:rPr>
          <w:rFonts w:ascii="Calibri" w:cs="Calibri" w:eastAsia="Calibri" w:hAnsi="Calibri"/>
          <w:color w:val="2A2A2A"/>
          <w:sz w:val="21"/>
          <w:szCs w:val="21"/>
        </w:rPr>
        <w:t xml:space="preserve">Approve the strategic plan and monitor progress against it</w:t>
      </w:r>
    </w:p>
    <w:p>
      <w:pPr>
        <w:pStyle w:val="ListParagraph"/>
        <w:numPr>
          <w:ilvl w:val="0"/>
          <w:numId w:val="2"/>
        </w:numPr>
        <w:spacing w:after="90"/>
      </w:pPr>
      <w:r>
        <w:rPr>
          <w:rFonts w:ascii="Calibri" w:cs="Calibri" w:eastAsia="Calibri" w:hAnsi="Calibri"/>
          <w:color w:val="2A2A2A"/>
          <w:sz w:val="21"/>
          <w:szCs w:val="21"/>
        </w:rPr>
        <w:t xml:space="preserve">Approve the annual budget and monitor financial performance</w:t>
      </w:r>
    </w:p>
    <w:p>
      <w:pPr>
        <w:pStyle w:val="ListParagraph"/>
        <w:numPr>
          <w:ilvl w:val="0"/>
          <w:numId w:val="2"/>
        </w:numPr>
        <w:spacing w:after="90"/>
      </w:pPr>
      <w:r>
        <w:rPr>
          <w:rFonts w:ascii="Calibri" w:cs="Calibri" w:eastAsia="Calibri" w:hAnsi="Calibri"/>
          <w:color w:val="2A2A2A"/>
          <w:sz w:val="21"/>
          <w:szCs w:val="21"/>
        </w:rPr>
        <w:t xml:space="preserve">Appoint, support, and evaluate the performance of the Chief Executive Officer</w:t>
      </w:r>
    </w:p>
    <w:p>
      <w:pPr>
        <w:pStyle w:val="ListParagraph"/>
        <w:numPr>
          <w:ilvl w:val="0"/>
          <w:numId w:val="2"/>
        </w:numPr>
        <w:spacing w:after="90"/>
      </w:pPr>
      <w:r>
        <w:rPr>
          <w:rFonts w:ascii="Calibri" w:cs="Calibri" w:eastAsia="Calibri" w:hAnsi="Calibri"/>
          <w:color w:val="2A2A2A"/>
          <w:sz w:val="21"/>
          <w:szCs w:val="21"/>
        </w:rPr>
        <w:t xml:space="preserve">Oversee the quality and safety of care provided to residents and clients</w:t>
      </w:r>
    </w:p>
    <w:p>
      <w:pPr>
        <w:pStyle w:val="ListParagraph"/>
        <w:numPr>
          <w:ilvl w:val="0"/>
          <w:numId w:val="2"/>
        </w:numPr>
        <w:spacing w:after="90"/>
      </w:pPr>
      <w:r>
        <w:rPr>
          <w:rFonts w:ascii="Calibri" w:cs="Calibri" w:eastAsia="Calibri" w:hAnsi="Calibri"/>
          <w:color w:val="2A2A2A"/>
          <w:sz w:val="21"/>
          <w:szCs w:val="21"/>
        </w:rPr>
        <w:t xml:space="preserve">Approve and monitor the Risk Management Framework and Risk Appetite Statement</w:t>
      </w:r>
    </w:p>
    <w:p>
      <w:pPr>
        <w:pStyle w:val="ListParagraph"/>
        <w:numPr>
          <w:ilvl w:val="0"/>
          <w:numId w:val="2"/>
        </w:numPr>
        <w:spacing w:after="90"/>
      </w:pPr>
      <w:r>
        <w:rPr>
          <w:rFonts w:ascii="Calibri" w:cs="Calibri" w:eastAsia="Calibri" w:hAnsi="Calibri"/>
          <w:color w:val="2A2A2A"/>
          <w:sz w:val="21"/>
          <w:szCs w:val="21"/>
        </w:rPr>
        <w:t xml:space="preserve">Ensure compliance with the Aged Care Act, Aged Care Quality Standards, and other legal and regulatory obligations</w:t>
      </w:r>
    </w:p>
    <w:p>
      <w:pPr>
        <w:pStyle w:val="ListParagraph"/>
        <w:numPr>
          <w:ilvl w:val="0"/>
          <w:numId w:val="2"/>
        </w:numPr>
        <w:spacing w:after="90"/>
      </w:pPr>
      <w:r>
        <w:rPr>
          <w:rFonts w:ascii="Calibri" w:cs="Calibri" w:eastAsia="Calibri" w:hAnsi="Calibri"/>
          <w:color w:val="2A2A2A"/>
          <w:sz w:val="21"/>
          <w:szCs w:val="21"/>
        </w:rPr>
        <w:t xml:space="preserve">Approve major financial commitments, contracts, and property transactions beyond the CEO's delegated authority</w:t>
      </w:r>
    </w:p>
    <w:p>
      <w:pPr>
        <w:pStyle w:val="ListParagraph"/>
        <w:numPr>
          <w:ilvl w:val="0"/>
          <w:numId w:val="2"/>
        </w:numPr>
        <w:spacing w:after="90"/>
      </w:pPr>
      <w:r>
        <w:rPr>
          <w:rFonts w:ascii="Calibri" w:cs="Calibri" w:eastAsia="Calibri" w:hAnsi="Calibri"/>
          <w:color w:val="2A2A2A"/>
          <w:sz w:val="21"/>
          <w:szCs w:val="21"/>
        </w:rPr>
        <w:t xml:space="preserve">Maintain the organisation's financial sustainability and act to prevent insolvent trading</w:t>
      </w:r>
    </w:p>
    <w:p>
      <w:pPr>
        <w:spacing w:after="120" w:before="280"/>
      </w:pPr>
      <w:r>
        <w:rPr>
          <w:rFonts w:ascii="Calibri" w:cs="Calibri" w:eastAsia="Calibri" w:hAnsi="Calibri"/>
          <w:b/>
          <w:bCs/>
          <w:color w:val="1F4E3D"/>
          <w:sz w:val="26"/>
          <w:szCs w:val="26"/>
        </w:rPr>
        <w:t xml:space="preserve">Responsibilities Delegated to the Chief Executive Officer</w:t>
      </w:r>
    </w:p>
    <w:p>
      <w:pPr>
        <w:spacing w:after="160"/>
      </w:pPr>
      <w:r>
        <w:rPr>
          <w:rFonts w:ascii="Calibri" w:cs="Calibri" w:eastAsia="Calibri" w:hAnsi="Calibri"/>
          <w:b w:val="false"/>
          <w:bCs w:val="false"/>
          <w:i w:val="false"/>
          <w:iCs w:val="false"/>
          <w:color w:val="2A2A2A"/>
          <w:sz w:val="21"/>
          <w:szCs w:val="21"/>
        </w:rPr>
        <w:t xml:space="preserve">The CEO is responsible for the day to day management of Corella Care, including implementing the strategic plan, managing staff, operating within the approved budget and Delegation of Authority Policy, and keeping the Board informed of material operational, financial, clinical and reputational matters between meetings.</w:t>
      </w:r>
    </w:p>
    <w:p>
      <w:pPr>
        <w:spacing w:after="120" w:before="280"/>
      </w:pPr>
      <w:r>
        <w:rPr>
          <w:rFonts w:ascii="Calibri" w:cs="Calibri" w:eastAsia="Calibri" w:hAnsi="Calibri"/>
          <w:b/>
          <w:bCs/>
          <w:color w:val="1F4E3D"/>
          <w:sz w:val="26"/>
          <w:szCs w:val="26"/>
        </w:rPr>
        <w:t xml:space="preserve">Committees</w:t>
      </w:r>
    </w:p>
    <w:p>
      <w:pPr>
        <w:spacing w:after="160"/>
      </w:pPr>
      <w:r>
        <w:rPr>
          <w:rFonts w:ascii="Calibri" w:cs="Calibri" w:eastAsia="Calibri" w:hAnsi="Calibri"/>
          <w:b w:val="false"/>
          <w:bCs w:val="false"/>
          <w:i w:val="false"/>
          <w:iCs w:val="false"/>
          <w:color w:val="2A2A2A"/>
          <w:sz w:val="21"/>
          <w:szCs w:val="21"/>
        </w:rPr>
        <w:t xml:space="preserve">The Board is supported by three standing committees: the Finance, Audit &amp; Risk Committee, the Quality &amp; Clinical Governance Committee, and the Governance &amp; Nominations Committee. Each committee operates under its own Terms of Reference and reports to the full Board. Committees make recommendations to the Board; they do not hold decision making authority except where expressly delegated in their Terms of Reference.</w:t>
      </w:r>
    </w:p>
    <w:p>
      <w:pPr>
        <w:spacing w:after="120" w:before="280"/>
      </w:pPr>
      <w:r>
        <w:rPr>
          <w:rFonts w:ascii="Calibri" w:cs="Calibri" w:eastAsia="Calibri" w:hAnsi="Calibri"/>
          <w:b/>
          <w:bCs/>
          <w:color w:val="1F4E3D"/>
          <w:sz w:val="26"/>
          <w:szCs w:val="26"/>
        </w:rPr>
        <w:t xml:space="preserve">The Chair</w:t>
      </w:r>
    </w:p>
    <w:p>
      <w:pPr>
        <w:spacing w:after="160"/>
      </w:pPr>
      <w:r>
        <w:rPr>
          <w:rFonts w:ascii="Calibri" w:cs="Calibri" w:eastAsia="Calibri" w:hAnsi="Calibri"/>
          <w:b w:val="false"/>
          <w:bCs w:val="false"/>
          <w:i w:val="false"/>
          <w:iCs w:val="false"/>
          <w:color w:val="2A2A2A"/>
          <w:sz w:val="21"/>
          <w:szCs w:val="21"/>
        </w:rPr>
        <w:t xml:space="preserve">The Chair leads the Board, sets the meeting agenda in consultation with the CEO, ensures all directors contribute, and acts as the Board's primary point of contact with the CEO between meetings. The Chair does not have authority to direct management unilaterally.</w:t>
      </w:r>
    </w:p>
    <w:p>
      <w:pPr>
        <w:spacing w:after="120" w:before="280"/>
      </w:pPr>
      <w:r>
        <w:rPr>
          <w:rFonts w:ascii="Calibri" w:cs="Calibri" w:eastAsia="Calibri" w:hAnsi="Calibri"/>
          <w:b/>
          <w:bCs/>
          <w:color w:val="1F4E3D"/>
          <w:sz w:val="26"/>
          <w:szCs w:val="26"/>
        </w:rPr>
        <w:t xml:space="preserve">The Company Secretary</w:t>
      </w:r>
    </w:p>
    <w:p>
      <w:pPr>
        <w:spacing w:after="160"/>
      </w:pPr>
      <w:r>
        <w:rPr>
          <w:rFonts w:ascii="Calibri" w:cs="Calibri" w:eastAsia="Calibri" w:hAnsi="Calibri"/>
          <w:b w:val="false"/>
          <w:bCs w:val="false"/>
          <w:i w:val="false"/>
          <w:iCs w:val="false"/>
          <w:color w:val="2A2A2A"/>
          <w:sz w:val="21"/>
          <w:szCs w:val="21"/>
        </w:rPr>
        <w:t xml:space="preserve">The Company Secretary supports the Board's governance processes, maintains statutory registers including the Conflict of Interest Register, ensures compliance with meeting and lodgement obligations, and advises directors on governance matters.</w:t>
      </w:r>
    </w:p>
    <w:p>
      <w:pPr>
        <w:spacing w:after="120" w:before="280"/>
      </w:pPr>
      <w:r>
        <w:rPr>
          <w:rFonts w:ascii="Calibri" w:cs="Calibri" w:eastAsia="Calibri" w:hAnsi="Calibri"/>
          <w:b/>
          <w:bCs/>
          <w:color w:val="1F4E3D"/>
          <w:sz w:val="26"/>
          <w:szCs w:val="26"/>
        </w:rPr>
        <w:t xml:space="preserve">Board Meetings</w:t>
      </w:r>
    </w:p>
    <w:p>
      <w:pPr>
        <w:spacing w:after="160"/>
      </w:pPr>
      <w:r>
        <w:rPr>
          <w:rFonts w:ascii="Calibri" w:cs="Calibri" w:eastAsia="Calibri" w:hAnsi="Calibri"/>
          <w:b w:val="false"/>
          <w:bCs w:val="false"/>
          <w:i w:val="false"/>
          <w:iCs w:val="false"/>
          <w:color w:val="2A2A2A"/>
          <w:sz w:val="21"/>
          <w:szCs w:val="21"/>
        </w:rPr>
        <w:t xml:space="preserve">The Board meets six times a year, in February, April, June, August, October and December, with the Annual General Meeting held in November. A quorum is a majority of directors then in office. Additional meetings may be called by the Chair or on the request of at least two directors.</w:t>
      </w:r>
    </w:p>
    <w:p>
      <w:pPr>
        <w:spacing w:after="120" w:before="280"/>
      </w:pPr>
      <w:r>
        <w:rPr>
          <w:rFonts w:ascii="Calibri" w:cs="Calibri" w:eastAsia="Calibri" w:hAnsi="Calibri"/>
          <w:b/>
          <w:bCs/>
          <w:color w:val="1F4E3D"/>
          <w:sz w:val="26"/>
          <w:szCs w:val="26"/>
        </w:rPr>
        <w:t xml:space="preserve">Board Evaluation</w:t>
      </w:r>
    </w:p>
    <w:p>
      <w:pPr>
        <w:spacing w:after="160"/>
      </w:pPr>
      <w:r>
        <w:rPr>
          <w:rFonts w:ascii="Calibri" w:cs="Calibri" w:eastAsia="Calibri" w:hAnsi="Calibri"/>
          <w:b w:val="false"/>
          <w:bCs w:val="false"/>
          <w:i w:val="false"/>
          <w:iCs w:val="false"/>
          <w:color w:val="2A2A2A"/>
          <w:sz w:val="21"/>
          <w:szCs w:val="21"/>
        </w:rPr>
        <w:t xml:space="preserve">The Board conducts an annual self assessment of its performance, facilitated by the Governance &amp; Nominations Committee, and commissions an independent external board evaluation at least once every three years.</w:t>
      </w:r>
    </w:p>
    <w:p>
      <w:pPr>
        <w:spacing w:after="120" w:before="280"/>
      </w:pPr>
      <w:r>
        <w:rPr>
          <w:rFonts w:ascii="Calibri" w:cs="Calibri" w:eastAsia="Calibri" w:hAnsi="Calibri"/>
          <w:b/>
          <w:bCs/>
          <w:color w:val="1F4E3D"/>
          <w:sz w:val="26"/>
          <w:szCs w:val="26"/>
        </w:rPr>
        <w:t xml:space="preserve">Review of this Charter</w:t>
      </w:r>
    </w:p>
    <w:p>
      <w:pPr>
        <w:spacing w:after="160"/>
      </w:pPr>
      <w:r>
        <w:rPr>
          <w:rFonts w:ascii="Calibri" w:cs="Calibri" w:eastAsia="Calibri" w:hAnsi="Calibri"/>
          <w:b w:val="false"/>
          <w:bCs w:val="false"/>
          <w:i w:val="false"/>
          <w:iCs w:val="false"/>
          <w:color w:val="2A2A2A"/>
          <w:sz w:val="21"/>
          <w:szCs w:val="21"/>
        </w:rPr>
        <w:t xml:space="preserve">This Charter is reviewed by the Board at least every two years, or earlier if required by legislative change or significant organisational change.</w:t>
      </w:r>
    </w:p>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99999"/>
        <w:sz w:val="16"/>
        <w:szCs w:val="16"/>
      </w:rPr>
      <w:t xml:space="preserve">CONFIDENTIAL, for Corella Care director use only  |  Page </w:t>
    </w:r>
    <w:r>
      <w:rPr>
        <w:rFonts w:ascii="Calibri" w:cs="Calibri" w:eastAsia="Calibri" w:hAnsi="Calibri"/>
        <w:color w:val="999999"/>
        <w:sz w:val="16"/>
        <w:szCs w:val="16"/>
      </w:rPr>
      <w:fldChar w:fldCharType="begin"/>
      <w:instrText xml:space="preserve">PAGE</w:instrText>
      <w:fldChar w:fldCharType="separate"/>
      <w:fldChar w:fldCharType="end"/>
    </w:r>
    <w:r>
      <w:rPr>
        <w:rFonts w:ascii="Calibri" w:cs="Calibri" w:eastAsia="Calibri" w:hAnsi="Calibri"/>
        <w:color w:val="999999"/>
        <w:sz w:val="16"/>
        <w:szCs w:val="16"/>
      </w:rPr>
      <w:t xml:space="preserve"> of </w:t>
    </w:r>
    <w:r>
      <w:rPr>
        <w:rFonts w:ascii="Calibri" w:cs="Calibri" w:eastAsia="Calibri" w:hAnsi="Calibri"/>
        <w:color w:val="99999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99999"/>
        <w:sz w:val="16"/>
        <w:szCs w:val="16"/>
      </w:rPr>
      <w:t xml:space="preserve">Corella Care Ltd, Board and Governance Documents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lvl w:ilvl="1" w15:tentative="1">
      <w:start w:val="1"/>
      <w:numFmt w:val="bullet"/>
      <w:lvlText w:val="–"/>
      <w:lvlJc w:val="left"/>
      <w:pPr>
        <w:ind w:left="820" w:hanging="260"/>
      </w:pPr>
    </w:lvl>
  </w:abstractNum>
  <w:abstractNum w:abstractNumId="3"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2026-08-19T23:05:09.683Z</dcterms:created>
  <dcterms:modified xsi:type="dcterms:W3CDTF">2026-08-19T23:05:09.683Z</dcterms:modified>
</cp:coreProperties>
</file>

<file path=docProps/custom.xml><?xml version="1.0" encoding="utf-8"?>
<Properties xmlns="http://schemas.openxmlformats.org/officeDocument/2006/custom-properties" xmlns:vt="http://schemas.openxmlformats.org/officeDocument/2006/docPropsVTypes"/>
</file>